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8CE" w:rsidRDefault="00D566B1" w:rsidP="000768CE">
      <w:pPr>
        <w:pBdr>
          <w:top w:val="single" w:sz="24" w:space="1" w:color="auto"/>
          <w:left w:val="single" w:sz="24" w:space="4" w:color="auto"/>
          <w:bottom w:val="single" w:sz="24" w:space="1" w:color="auto"/>
          <w:right w:val="single" w:sz="24" w:space="4" w:color="auto"/>
        </w:pBdr>
        <w:jc w:val="center"/>
        <w:rPr>
          <w:b/>
          <w:sz w:val="40"/>
          <w:szCs w:val="40"/>
          <w:lang w:val="en-US"/>
        </w:rPr>
      </w:pPr>
      <w:r>
        <w:rPr>
          <w:b/>
          <w:noProof/>
          <w:sz w:val="40"/>
          <w:szCs w:val="40"/>
          <w:lang w:eastAsia="en-CA"/>
        </w:rPr>
        <mc:AlternateContent>
          <mc:Choice Requires="wps">
            <w:drawing>
              <wp:anchor distT="0" distB="0" distL="114300" distR="114300" simplePos="0" relativeHeight="251659264" behindDoc="0" locked="0" layoutInCell="1" allowOverlap="1">
                <wp:simplePos x="0" y="0"/>
                <wp:positionH relativeFrom="column">
                  <wp:posOffset>-257175</wp:posOffset>
                </wp:positionH>
                <wp:positionV relativeFrom="paragraph">
                  <wp:posOffset>-200025</wp:posOffset>
                </wp:positionV>
                <wp:extent cx="6467475" cy="7562850"/>
                <wp:effectExtent l="57150" t="57150" r="66675" b="57150"/>
                <wp:wrapNone/>
                <wp:docPr id="1" name="Rectangle 1"/>
                <wp:cNvGraphicFramePr/>
                <a:graphic xmlns:a="http://schemas.openxmlformats.org/drawingml/2006/main">
                  <a:graphicData uri="http://schemas.microsoft.com/office/word/2010/wordprocessingShape">
                    <wps:wsp>
                      <wps:cNvSpPr/>
                      <wps:spPr>
                        <a:xfrm>
                          <a:off x="0" y="0"/>
                          <a:ext cx="6467475" cy="7562850"/>
                        </a:xfrm>
                        <a:prstGeom prst="rect">
                          <a:avLst/>
                        </a:prstGeom>
                        <a:noFill/>
                        <a:ln>
                          <a:solidFill>
                            <a:schemeClr val="tx1"/>
                          </a:solidFill>
                        </a:ln>
                        <a:scene3d>
                          <a:camera prst="orthographicFront"/>
                          <a:lightRig rig="threePt" dir="t"/>
                        </a:scene3d>
                        <a:sp3d>
                          <a:bevelT prst="slop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0.25pt;margin-top:-15.75pt;width:509.25pt;height:59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" filled="f" strokecolor="black [3213]" strokeweight="2pt"/>
            </w:pict>
          </mc:Fallback>
        </mc:AlternateContent>
      </w:r>
      <w:r w:rsidR="000768CE">
        <w:rPr>
          <w:b/>
          <w:sz w:val="40"/>
          <w:szCs w:val="40"/>
          <w:lang w:val="en-US"/>
        </w:rPr>
        <w:t>Engaging the Student Brain – October 19</w:t>
      </w:r>
      <w:r w:rsidR="000768CE" w:rsidRPr="000768CE">
        <w:rPr>
          <w:b/>
          <w:sz w:val="40"/>
          <w:szCs w:val="40"/>
          <w:vertAlign w:val="superscript"/>
          <w:lang w:val="en-US"/>
        </w:rPr>
        <w:t>th</w:t>
      </w:r>
      <w:r w:rsidR="000768CE">
        <w:rPr>
          <w:b/>
          <w:sz w:val="40"/>
          <w:szCs w:val="40"/>
          <w:lang w:val="en-US"/>
        </w:rPr>
        <w:t>, 2012</w:t>
      </w:r>
    </w:p>
    <w:p w:rsidR="003F4C9B" w:rsidRPr="000768CE" w:rsidRDefault="000768CE" w:rsidP="000768CE">
      <w:pPr>
        <w:tabs>
          <w:tab w:val="left" w:pos="5145"/>
        </w:tabs>
        <w:jc w:val="center"/>
        <w:rPr>
          <w:sz w:val="36"/>
          <w:szCs w:val="36"/>
          <w:u w:val="single"/>
          <w:lang w:val="en-US"/>
        </w:rPr>
      </w:pPr>
      <w:r w:rsidRPr="000768CE">
        <w:rPr>
          <w:sz w:val="36"/>
          <w:szCs w:val="36"/>
          <w:u w:val="single"/>
          <w:lang w:val="en-US"/>
        </w:rPr>
        <w:t xml:space="preserve">Presented by Gary </w:t>
      </w:r>
      <w:proofErr w:type="spellStart"/>
      <w:r w:rsidRPr="000768CE">
        <w:rPr>
          <w:sz w:val="36"/>
          <w:szCs w:val="36"/>
          <w:u w:val="single"/>
          <w:lang w:val="en-US"/>
        </w:rPr>
        <w:t>Anaka</w:t>
      </w:r>
      <w:proofErr w:type="spellEnd"/>
      <w:r w:rsidRPr="000768CE">
        <w:rPr>
          <w:sz w:val="36"/>
          <w:szCs w:val="36"/>
          <w:u w:val="single"/>
          <w:lang w:val="en-US"/>
        </w:rPr>
        <w:t>, Brain-based Learning Facilitator</w:t>
      </w:r>
    </w:p>
    <w:p w:rsidR="000768CE" w:rsidRDefault="000768CE" w:rsidP="000768CE">
      <w:pPr>
        <w:tabs>
          <w:tab w:val="left" w:pos="5145"/>
        </w:tabs>
        <w:jc w:val="center"/>
        <w:rPr>
          <w:sz w:val="28"/>
          <w:szCs w:val="28"/>
          <w:lang w:val="en-US"/>
        </w:rPr>
      </w:pPr>
      <w:proofErr w:type="gramStart"/>
      <w:r w:rsidRPr="000768CE">
        <w:rPr>
          <w:i/>
          <w:sz w:val="28"/>
          <w:szCs w:val="28"/>
          <w:lang w:val="en-US"/>
        </w:rPr>
        <w:t>Modeling relevant and practical instructional strategies to meet the challenges of today’s mixed-ability classes, K-12.</w:t>
      </w:r>
      <w:proofErr w:type="gramEnd"/>
    </w:p>
    <w:p w:rsidR="000768CE" w:rsidRDefault="000768CE" w:rsidP="000768CE">
      <w:pPr>
        <w:tabs>
          <w:tab w:val="left" w:pos="5145"/>
        </w:tabs>
        <w:jc w:val="center"/>
        <w:rPr>
          <w:sz w:val="28"/>
          <w:szCs w:val="28"/>
          <w:lang w:val="en-US"/>
        </w:rPr>
      </w:pPr>
    </w:p>
    <w:p w:rsidR="000768CE" w:rsidRPr="00E703AC" w:rsidRDefault="000768CE" w:rsidP="000768CE">
      <w:pPr>
        <w:pBdr>
          <w:top w:val="single" w:sz="8" w:space="1" w:color="auto"/>
          <w:left w:val="single" w:sz="8" w:space="4" w:color="auto"/>
          <w:bottom w:val="single" w:sz="8" w:space="1" w:color="auto"/>
          <w:right w:val="single" w:sz="8" w:space="4" w:color="auto"/>
        </w:pBdr>
        <w:tabs>
          <w:tab w:val="left" w:pos="5145"/>
        </w:tabs>
        <w:jc w:val="both"/>
        <w:rPr>
          <w:sz w:val="28"/>
          <w:szCs w:val="28"/>
          <w:lang w:val="en-US"/>
        </w:rPr>
      </w:pPr>
      <w:r w:rsidRPr="00E703AC">
        <w:rPr>
          <w:sz w:val="28"/>
          <w:szCs w:val="28"/>
          <w:lang w:val="en-US"/>
        </w:rPr>
        <w:t>Gary offers a unique, passionate, high-energy workshop.  He connects research with fresh new strategies that take little time, no effort to prepare, cost nothing and can be implemented immediately.  Co</w:t>
      </w:r>
      <w:bookmarkStart w:id="0" w:name="_GoBack"/>
      <w:bookmarkEnd w:id="0"/>
      <w:r w:rsidRPr="00E703AC">
        <w:rPr>
          <w:sz w:val="28"/>
          <w:szCs w:val="28"/>
          <w:lang w:val="en-US"/>
        </w:rPr>
        <w:t>me motivated to move forward, cut stress and increase student success!</w:t>
      </w:r>
    </w:p>
    <w:p w:rsidR="000768CE" w:rsidRDefault="000768CE" w:rsidP="000768CE">
      <w:pPr>
        <w:rPr>
          <w:sz w:val="24"/>
          <w:szCs w:val="24"/>
          <w:lang w:val="en-US"/>
        </w:rPr>
      </w:pPr>
    </w:p>
    <w:tbl>
      <w:tblPr>
        <w:tblStyle w:val="TableGrid"/>
        <w:tblW w:w="0" w:type="auto"/>
        <w:tblLook w:val="04A0" w:firstRow="1" w:lastRow="0" w:firstColumn="1" w:lastColumn="0" w:noHBand="0" w:noVBand="1"/>
      </w:tblPr>
      <w:tblGrid>
        <w:gridCol w:w="4788"/>
        <w:gridCol w:w="4788"/>
      </w:tblGrid>
      <w:tr w:rsidR="000768CE" w:rsidTr="000768CE">
        <w:tc>
          <w:tcPr>
            <w:tcW w:w="4788" w:type="dxa"/>
          </w:tcPr>
          <w:p w:rsidR="000768CE" w:rsidRDefault="000768CE" w:rsidP="000768CE">
            <w:pPr>
              <w:jc w:val="both"/>
              <w:rPr>
                <w:sz w:val="24"/>
                <w:szCs w:val="24"/>
                <w:lang w:val="en-US"/>
              </w:rPr>
            </w:pPr>
            <w:r>
              <w:rPr>
                <w:sz w:val="24"/>
                <w:szCs w:val="24"/>
                <w:lang w:val="en-US"/>
              </w:rPr>
              <w:t>Experience:</w:t>
            </w:r>
          </w:p>
          <w:p w:rsidR="000768CE" w:rsidRDefault="000768CE" w:rsidP="000768CE">
            <w:pPr>
              <w:pStyle w:val="ListParagraph"/>
              <w:numPr>
                <w:ilvl w:val="0"/>
                <w:numId w:val="1"/>
              </w:numPr>
              <w:jc w:val="both"/>
              <w:rPr>
                <w:sz w:val="24"/>
                <w:szCs w:val="24"/>
                <w:lang w:val="en-US"/>
              </w:rPr>
            </w:pPr>
            <w:r>
              <w:rPr>
                <w:sz w:val="24"/>
                <w:szCs w:val="24"/>
                <w:lang w:val="en-US"/>
              </w:rPr>
              <w:t>Why movement profoundly impacts student success</w:t>
            </w:r>
          </w:p>
          <w:p w:rsidR="000768CE" w:rsidRDefault="000768CE" w:rsidP="000768CE">
            <w:pPr>
              <w:pStyle w:val="ListParagraph"/>
              <w:numPr>
                <w:ilvl w:val="0"/>
                <w:numId w:val="1"/>
              </w:numPr>
              <w:jc w:val="both"/>
              <w:rPr>
                <w:sz w:val="24"/>
                <w:szCs w:val="24"/>
                <w:lang w:val="en-US"/>
              </w:rPr>
            </w:pPr>
            <w:r>
              <w:rPr>
                <w:sz w:val="24"/>
                <w:szCs w:val="24"/>
                <w:lang w:val="en-US"/>
              </w:rPr>
              <w:t>Simple, fun and effective engagement strategies</w:t>
            </w:r>
          </w:p>
          <w:p w:rsidR="000768CE" w:rsidRDefault="000768CE" w:rsidP="000768CE">
            <w:pPr>
              <w:pStyle w:val="ListParagraph"/>
              <w:numPr>
                <w:ilvl w:val="0"/>
                <w:numId w:val="1"/>
              </w:numPr>
              <w:jc w:val="both"/>
              <w:rPr>
                <w:sz w:val="24"/>
                <w:szCs w:val="24"/>
                <w:lang w:val="en-US"/>
              </w:rPr>
            </w:pPr>
            <w:r>
              <w:rPr>
                <w:sz w:val="24"/>
                <w:szCs w:val="24"/>
                <w:lang w:val="en-US"/>
              </w:rPr>
              <w:t>How the student brain learning best, naturally</w:t>
            </w:r>
          </w:p>
          <w:p w:rsidR="000768CE" w:rsidRDefault="000768CE" w:rsidP="000768CE">
            <w:pPr>
              <w:pStyle w:val="ListParagraph"/>
              <w:numPr>
                <w:ilvl w:val="0"/>
                <w:numId w:val="1"/>
              </w:numPr>
              <w:jc w:val="both"/>
              <w:rPr>
                <w:sz w:val="24"/>
                <w:szCs w:val="24"/>
                <w:lang w:val="en-US"/>
              </w:rPr>
            </w:pPr>
            <w:r>
              <w:rPr>
                <w:sz w:val="24"/>
                <w:szCs w:val="24"/>
                <w:lang w:val="en-US"/>
              </w:rPr>
              <w:t>Why social interaction is the key</w:t>
            </w:r>
          </w:p>
          <w:p w:rsidR="000768CE" w:rsidRPr="000768CE" w:rsidRDefault="000768CE" w:rsidP="000768CE">
            <w:pPr>
              <w:pStyle w:val="ListParagraph"/>
              <w:numPr>
                <w:ilvl w:val="0"/>
                <w:numId w:val="1"/>
              </w:numPr>
              <w:jc w:val="both"/>
              <w:rPr>
                <w:sz w:val="24"/>
                <w:szCs w:val="24"/>
                <w:lang w:val="en-US"/>
              </w:rPr>
            </w:pPr>
            <w:r>
              <w:rPr>
                <w:sz w:val="24"/>
                <w:szCs w:val="24"/>
                <w:lang w:val="en-US"/>
              </w:rPr>
              <w:t>Why episodes are critical, not notes</w:t>
            </w:r>
          </w:p>
          <w:p w:rsidR="000768CE" w:rsidRDefault="000768CE" w:rsidP="000768CE">
            <w:pPr>
              <w:jc w:val="center"/>
              <w:rPr>
                <w:sz w:val="24"/>
                <w:szCs w:val="24"/>
                <w:lang w:val="en-US"/>
              </w:rPr>
            </w:pPr>
          </w:p>
        </w:tc>
        <w:tc>
          <w:tcPr>
            <w:tcW w:w="4788" w:type="dxa"/>
          </w:tcPr>
          <w:p w:rsidR="000768CE" w:rsidRDefault="000768CE" w:rsidP="000768CE">
            <w:pPr>
              <w:jc w:val="both"/>
              <w:rPr>
                <w:sz w:val="24"/>
                <w:szCs w:val="24"/>
                <w:lang w:val="en-US"/>
              </w:rPr>
            </w:pPr>
          </w:p>
          <w:p w:rsidR="000768CE" w:rsidRDefault="000768CE" w:rsidP="000768CE">
            <w:pPr>
              <w:jc w:val="both"/>
              <w:rPr>
                <w:sz w:val="24"/>
                <w:szCs w:val="24"/>
                <w:lang w:val="en-US"/>
              </w:rPr>
            </w:pPr>
            <w:r>
              <w:rPr>
                <w:sz w:val="24"/>
                <w:szCs w:val="24"/>
                <w:lang w:val="en-US"/>
              </w:rPr>
              <w:t>“Today’s classrooms are full of students struggling with learning difficulties, learned helplessness, boredom, and stress.  The brain affects every policy and behavior in your school.  Nothing is more relevant than the brains of staff, students and parents.  Good teaching drives student achievement.  It’s all about engagement.”</w:t>
            </w:r>
          </w:p>
        </w:tc>
      </w:tr>
    </w:tbl>
    <w:p w:rsidR="000768CE" w:rsidRDefault="000768CE" w:rsidP="000768CE">
      <w:pPr>
        <w:jc w:val="center"/>
        <w:rPr>
          <w:sz w:val="24"/>
          <w:szCs w:val="24"/>
          <w:lang w:val="en-US"/>
        </w:rPr>
      </w:pPr>
    </w:p>
    <w:p w:rsidR="00E703AC" w:rsidRDefault="00E703AC" w:rsidP="00E703AC">
      <w:pPr>
        <w:jc w:val="both"/>
        <w:rPr>
          <w:sz w:val="24"/>
          <w:szCs w:val="24"/>
          <w:lang w:val="en-US"/>
        </w:rPr>
      </w:pPr>
      <w:r>
        <w:rPr>
          <w:sz w:val="24"/>
          <w:szCs w:val="24"/>
          <w:lang w:val="en-US"/>
        </w:rPr>
        <w:t>When:</w:t>
      </w:r>
      <w:r>
        <w:rPr>
          <w:sz w:val="24"/>
          <w:szCs w:val="24"/>
          <w:lang w:val="en-US"/>
        </w:rPr>
        <w:tab/>
      </w:r>
      <w:r>
        <w:rPr>
          <w:sz w:val="24"/>
          <w:szCs w:val="24"/>
          <w:lang w:val="en-US"/>
        </w:rPr>
        <w:tab/>
        <w:t>Friday, Oct. 19</w:t>
      </w:r>
      <w:r w:rsidRPr="00E703AC">
        <w:rPr>
          <w:sz w:val="24"/>
          <w:szCs w:val="24"/>
          <w:vertAlign w:val="superscript"/>
          <w:lang w:val="en-US"/>
        </w:rPr>
        <w:t>th</w:t>
      </w:r>
      <w:r>
        <w:rPr>
          <w:sz w:val="24"/>
          <w:szCs w:val="24"/>
          <w:lang w:val="en-US"/>
        </w:rPr>
        <w:t>, 2012</w:t>
      </w:r>
    </w:p>
    <w:p w:rsidR="00E703AC" w:rsidRDefault="00E703AC" w:rsidP="00E703AC">
      <w:pPr>
        <w:jc w:val="both"/>
        <w:rPr>
          <w:sz w:val="24"/>
          <w:szCs w:val="24"/>
          <w:lang w:val="en-US"/>
        </w:rPr>
      </w:pPr>
      <w:r>
        <w:rPr>
          <w:sz w:val="24"/>
          <w:szCs w:val="24"/>
          <w:lang w:val="en-US"/>
        </w:rPr>
        <w:t>Where:</w:t>
      </w:r>
      <w:r>
        <w:rPr>
          <w:sz w:val="24"/>
          <w:szCs w:val="24"/>
          <w:lang w:val="en-US"/>
        </w:rPr>
        <w:tab/>
        <w:t>JL Crowe gymnasium</w:t>
      </w:r>
    </w:p>
    <w:p w:rsidR="00D566B1" w:rsidRDefault="00E703AC" w:rsidP="00E703AC">
      <w:pPr>
        <w:jc w:val="both"/>
        <w:rPr>
          <w:sz w:val="24"/>
          <w:szCs w:val="24"/>
          <w:lang w:val="en-US"/>
        </w:rPr>
      </w:pPr>
      <w:r>
        <w:rPr>
          <w:sz w:val="24"/>
          <w:szCs w:val="24"/>
          <w:lang w:val="en-US"/>
        </w:rPr>
        <w:t>Time:</w:t>
      </w:r>
      <w:r>
        <w:rPr>
          <w:sz w:val="24"/>
          <w:szCs w:val="24"/>
          <w:lang w:val="en-US"/>
        </w:rPr>
        <w:tab/>
      </w:r>
      <w:r>
        <w:rPr>
          <w:sz w:val="24"/>
          <w:szCs w:val="24"/>
          <w:lang w:val="en-US"/>
        </w:rPr>
        <w:tab/>
        <w:t>8:</w:t>
      </w:r>
      <w:r w:rsidR="00D566B1">
        <w:rPr>
          <w:sz w:val="24"/>
          <w:szCs w:val="24"/>
          <w:lang w:val="en-US"/>
        </w:rPr>
        <w:t>00 am coffee; 8:30 am program start; 2:45 pm program end</w:t>
      </w:r>
    </w:p>
    <w:p w:rsidR="00E703AC" w:rsidRPr="000768CE" w:rsidRDefault="00D566B1" w:rsidP="00D566B1">
      <w:pPr>
        <w:ind w:left="1440" w:hanging="1440"/>
        <w:jc w:val="both"/>
        <w:rPr>
          <w:sz w:val="24"/>
          <w:szCs w:val="24"/>
          <w:lang w:val="en-US"/>
        </w:rPr>
      </w:pPr>
      <w:r>
        <w:rPr>
          <w:sz w:val="24"/>
          <w:szCs w:val="24"/>
          <w:lang w:val="en-US"/>
        </w:rPr>
        <w:t xml:space="preserve">Note: </w:t>
      </w:r>
      <w:r>
        <w:rPr>
          <w:sz w:val="24"/>
          <w:szCs w:val="24"/>
          <w:lang w:val="en-US"/>
        </w:rPr>
        <w:tab/>
        <w:t xml:space="preserve">snacks/beverages will be provided; lunch will </w:t>
      </w:r>
      <w:r>
        <w:rPr>
          <w:sz w:val="24"/>
          <w:szCs w:val="24"/>
          <w:u w:val="single"/>
          <w:lang w:val="en-US"/>
        </w:rPr>
        <w:t>not</w:t>
      </w:r>
      <w:r>
        <w:rPr>
          <w:sz w:val="24"/>
          <w:szCs w:val="24"/>
          <w:lang w:val="en-US"/>
        </w:rPr>
        <w:t xml:space="preserve"> be supplied (1 </w:t>
      </w:r>
      <w:proofErr w:type="spellStart"/>
      <w:r>
        <w:rPr>
          <w:sz w:val="24"/>
          <w:szCs w:val="24"/>
          <w:lang w:val="en-US"/>
        </w:rPr>
        <w:t>hr</w:t>
      </w:r>
      <w:proofErr w:type="spellEnd"/>
      <w:r>
        <w:rPr>
          <w:sz w:val="24"/>
          <w:szCs w:val="24"/>
          <w:lang w:val="en-US"/>
        </w:rPr>
        <w:t xml:space="preserve"> 15 minutes will be provided for lunch) </w:t>
      </w:r>
    </w:p>
    <w:sectPr w:rsidR="00E703AC" w:rsidRPr="000768C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56A41"/>
    <w:multiLevelType w:val="hybridMultilevel"/>
    <w:tmpl w:val="28801B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8CE"/>
    <w:rsid w:val="000768CE"/>
    <w:rsid w:val="003F4C9B"/>
    <w:rsid w:val="00D566B1"/>
    <w:rsid w:val="00E703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68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68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68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6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School District No. 20 (Kootenay-Columbia)</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2012-10-05T17:59:00Z</dcterms:created>
  <dcterms:modified xsi:type="dcterms:W3CDTF">2012-10-05T19:37:00Z</dcterms:modified>
</cp:coreProperties>
</file>